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ZF 2006 10 vom 4. September 2006</w:t>
      </w:r>
    </w:p>
    <w:p>
      <w:r>
        <w:t>GR Gerichte, 2006-09-04, DE</w:t>
      </w:r>
    </w:p>
    <w:p>
      <w:r>
        <w:rPr>
          <w:b/>
        </w:rPr>
        <w:t xml:space="preserve">Quelle: </w:t>
      </w:r>
      <w:r>
        <w:t>https://mcp.opencaselaw.ch/entscheid/gr_gerichte_ZF 2006 10</w:t>
      </w:r>
    </w:p>
    <w:p>
      <w:r>
        <w:t>FR: GR_GERICHTE ZF 2006 10 du 4 septembre 2006</w:t>
      </w:r>
    </w:p>
    <w:p>
      <w:r>
        <w:t>IT: GR_GERICHTE ZF 2006 10 del 4 settembre 2006</w:t>
      </w:r>
    </w:p>
    <w:p>
      <w:pPr>
        <w:pStyle w:val="Heading2"/>
      </w:pPr>
      <w:r>
        <w:t>Regeste</w:t>
      </w:r>
    </w:p>
    <w:p>
      <w:r>
        <w:t>Forderung aus Arbeitsvertrag | OR Arbeitsvertrag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Unter vermittleramtlicher, gerichtlicher und aussergerichtlicher Kosten- und Entschädigungsfolge zu Lasten der Klägerin.“ Mit Eingabe vom 28. Juni 2004 reichte die Klägerin die Stellungnahme nach Art. 87 Abs. 2 ZPO ein. Am 13. September 2004 erliess der Bezirksgerichtspräsi- dent Inn die Beweisverfügung, in der er unter anderem eine Schriftenexpertise hin- sichtlich der Einträge in den eingereichten Arbeitszeitkontrollheften anordnete.</w:t>
      </w:r>
    </w:p>
    <w:p>
      <w:r>
        <w:rPr>
          <w:b/>
        </w:rPr>
        <w:t>E. 3</w:t>
      </w:r>
    </w:p>
    <w:p>
      <w:r>
        <w:t>Diese Schriftexpertise lag mit Datum vom 13. April 2005 vor. Der Antrag der Kläge- rin vom 24. Mai 2005, das Gutachten zu ergänzen, wurde mit Verfügung des Be- zirksgerichtspräsidenten Inn vom 8. Juli 2005 abgewiesen. C. Die Hauptverhandlung vor dem Bezirksgericht Inn fand am 18. Okto- ber 2005 statt. Mit Urteil vom 18. Oktober 2005, mitgeteilt am 9. Januar 2006, er- kannte das Bezirksgericht Inn, wie folgt: „1. Die Klage wird teilweise gutgeheissen und der Beklagte verpflichtet, der Klägerin den Betrag von Fr. 829.85 brutto zuzüglich 5 % Zins seit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